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B14A" w14:textId="718CB125" w:rsidR="0046608A" w:rsidRPr="00E073B3" w:rsidRDefault="00261387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073B3">
        <w:rPr>
          <w:rFonts w:ascii="Arial" w:hAnsi="Arial" w:cs="Arial"/>
          <w:b/>
          <w:bCs/>
          <w:sz w:val="20"/>
          <w:szCs w:val="20"/>
        </w:rPr>
        <w:t>Project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61387" w:rsidRPr="00E073B3" w14:paraId="1F10AA08" w14:textId="77777777" w:rsidTr="00261387">
        <w:tc>
          <w:tcPr>
            <w:tcW w:w="1696" w:type="dxa"/>
          </w:tcPr>
          <w:p w14:paraId="723116C6" w14:textId="31E6F5FE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7320" w:type="dxa"/>
          </w:tcPr>
          <w:p w14:paraId="6043AB54" w14:textId="00495A70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Telehealth for Music Therapists</w:t>
            </w:r>
          </w:p>
        </w:tc>
      </w:tr>
      <w:tr w:rsidR="00261387" w:rsidRPr="00E073B3" w14:paraId="639FA88F" w14:textId="77777777" w:rsidTr="00261387">
        <w:tc>
          <w:tcPr>
            <w:tcW w:w="1696" w:type="dxa"/>
          </w:tcPr>
          <w:p w14:paraId="5D57B9B0" w14:textId="587901F4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Applicant Details</w:t>
            </w:r>
          </w:p>
        </w:tc>
        <w:tc>
          <w:tcPr>
            <w:tcW w:w="7320" w:type="dxa"/>
          </w:tcPr>
          <w:p w14:paraId="36A78569" w14:textId="07F1E504" w:rsidR="00261387" w:rsidRDefault="007F17BC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5EB78C2" w14:textId="77777777" w:rsidR="00F30612" w:rsidRPr="00E073B3" w:rsidRDefault="00F306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3E919" w14:textId="15848E0F" w:rsidR="007F17BC" w:rsidRDefault="007F17BC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  <w:p w14:paraId="194A984A" w14:textId="77777777" w:rsidR="00F30612" w:rsidRPr="00E073B3" w:rsidRDefault="00F306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8127B" w14:textId="5DC10342" w:rsidR="007F17BC" w:rsidRDefault="007F17BC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0A6D38B" w14:textId="77777777" w:rsidR="00F30612" w:rsidRPr="00E073B3" w:rsidRDefault="00F306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1E9D4" w14:textId="77777777" w:rsidR="007F17BC" w:rsidRDefault="007F17BC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Mobile phone:</w:t>
            </w:r>
          </w:p>
          <w:p w14:paraId="097B8B67" w14:textId="2B0E49CC" w:rsidR="00F30612" w:rsidRPr="00E073B3" w:rsidRDefault="00F30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387" w:rsidRPr="00E073B3" w14:paraId="500D2F45" w14:textId="77777777" w:rsidTr="00261387">
        <w:tc>
          <w:tcPr>
            <w:tcW w:w="1696" w:type="dxa"/>
          </w:tcPr>
          <w:p w14:paraId="7F12745A" w14:textId="1C19BAA3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7320" w:type="dxa"/>
          </w:tcPr>
          <w:p w14:paraId="02068AF3" w14:textId="4ACAE661" w:rsidR="00F30612" w:rsidRPr="00E073B3" w:rsidRDefault="00261387" w:rsidP="002C5CF9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 xml:space="preserve">There has been a significant increase in demand for music therapy as the mental health of New Zealanders has deteriorated in the wake of the COVID-19 emergency. </w:t>
            </w:r>
            <w:r w:rsidR="007E0A13" w:rsidRPr="00E073B3">
              <w:rPr>
                <w:rFonts w:ascii="Arial" w:hAnsi="Arial" w:cs="Arial"/>
                <w:sz w:val="20"/>
                <w:szCs w:val="20"/>
              </w:rPr>
              <w:t xml:space="preserve">At the same time, the delivery of music therapy services has been tenuous as clinicians struggle with new telehealth methods or cease practising for periods of time. With Auckland now in a third Level 4 lockdown, the situation for some will have reached crisis point. It is crucial that music therapists </w:t>
            </w:r>
            <w:r w:rsidR="002C5CF9" w:rsidRPr="00E073B3">
              <w:rPr>
                <w:rFonts w:ascii="Arial" w:hAnsi="Arial" w:cs="Arial"/>
                <w:sz w:val="20"/>
                <w:szCs w:val="20"/>
              </w:rPr>
              <w:t>know how to maximise the delivery of</w:t>
            </w:r>
            <w:r w:rsidR="007E0A13" w:rsidRPr="00E073B3">
              <w:rPr>
                <w:rFonts w:ascii="Arial" w:hAnsi="Arial" w:cs="Arial"/>
                <w:sz w:val="20"/>
                <w:szCs w:val="20"/>
              </w:rPr>
              <w:t xml:space="preserve"> telehealth services </w:t>
            </w:r>
            <w:r w:rsidR="00A61ABF" w:rsidRPr="00E073B3">
              <w:rPr>
                <w:rFonts w:ascii="Arial" w:hAnsi="Arial" w:cs="Arial"/>
                <w:sz w:val="20"/>
                <w:szCs w:val="20"/>
              </w:rPr>
              <w:t>to</w:t>
            </w:r>
            <w:r w:rsidR="007E0A13" w:rsidRPr="00E073B3">
              <w:rPr>
                <w:rFonts w:ascii="Arial" w:hAnsi="Arial" w:cs="Arial"/>
                <w:sz w:val="20"/>
                <w:szCs w:val="20"/>
              </w:rPr>
              <w:t xml:space="preserve"> respond to this and other crises where they are unable to meet face to face with people in need. </w:t>
            </w:r>
          </w:p>
        </w:tc>
      </w:tr>
      <w:tr w:rsidR="00261387" w:rsidRPr="00E073B3" w14:paraId="062ECE10" w14:textId="77777777" w:rsidTr="00261387">
        <w:tc>
          <w:tcPr>
            <w:tcW w:w="1696" w:type="dxa"/>
          </w:tcPr>
          <w:p w14:paraId="24DB3D3E" w14:textId="75A26E20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7320" w:type="dxa"/>
          </w:tcPr>
          <w:p w14:paraId="09C92F78" w14:textId="5CDE1BD6" w:rsidR="00F30612" w:rsidRPr="00E073B3" w:rsidRDefault="002C5CF9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To provide music therapists with resources that will maximise their potentials as telehealth professionals.</w:t>
            </w:r>
          </w:p>
        </w:tc>
      </w:tr>
      <w:tr w:rsidR="002C5CF9" w:rsidRPr="00E073B3" w14:paraId="759F7190" w14:textId="77777777" w:rsidTr="00261387">
        <w:tc>
          <w:tcPr>
            <w:tcW w:w="1696" w:type="dxa"/>
          </w:tcPr>
          <w:p w14:paraId="5541F4AF" w14:textId="2DBBE2D5" w:rsidR="002C5CF9" w:rsidRPr="00E073B3" w:rsidRDefault="002C5CF9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7320" w:type="dxa"/>
          </w:tcPr>
          <w:p w14:paraId="5E54C892" w14:textId="1168EB13" w:rsidR="00F30612" w:rsidRPr="00E073B3" w:rsidRDefault="002C5CF9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 xml:space="preserve">I intend to facilitate an online </w:t>
            </w:r>
            <w:r w:rsidR="00A61ABF" w:rsidRPr="00E073B3">
              <w:rPr>
                <w:rFonts w:ascii="Arial" w:hAnsi="Arial" w:cs="Arial"/>
                <w:sz w:val="20"/>
                <w:szCs w:val="20"/>
              </w:rPr>
              <w:t>seminar</w:t>
            </w:r>
            <w:r w:rsidRPr="00E073B3">
              <w:rPr>
                <w:rFonts w:ascii="Arial" w:hAnsi="Arial" w:cs="Arial"/>
                <w:sz w:val="20"/>
                <w:szCs w:val="20"/>
              </w:rPr>
              <w:t xml:space="preserve"> for music therapists. I will invite professionals from music therapy and related fields, who are experienced in technologies and/or the delivery of online therapy to share their expertise with music therapists. 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>The online seminars will be delivered live, with number</w:t>
            </w:r>
            <w:r w:rsidR="00A61ABF" w:rsidRPr="00E073B3">
              <w:rPr>
                <w:rFonts w:ascii="Arial" w:hAnsi="Arial" w:cs="Arial"/>
                <w:sz w:val="20"/>
                <w:szCs w:val="20"/>
              </w:rPr>
              <w:t>s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 xml:space="preserve"> limited to </w:t>
            </w:r>
            <w:r w:rsidR="00A61ABF" w:rsidRPr="00E073B3">
              <w:rPr>
                <w:rFonts w:ascii="Arial" w:hAnsi="Arial" w:cs="Arial"/>
                <w:sz w:val="20"/>
                <w:szCs w:val="20"/>
              </w:rPr>
              <w:t xml:space="preserve">ensure questions can be asked and discussion can take place but recorded to ensure a wide number of registrants can have access to the materials. </w:t>
            </w:r>
          </w:p>
        </w:tc>
      </w:tr>
      <w:tr w:rsidR="00261387" w:rsidRPr="00E073B3" w14:paraId="593D3665" w14:textId="77777777" w:rsidTr="00261387">
        <w:tc>
          <w:tcPr>
            <w:tcW w:w="1696" w:type="dxa"/>
          </w:tcPr>
          <w:p w14:paraId="4CA3E985" w14:textId="09A607B3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320" w:type="dxa"/>
          </w:tcPr>
          <w:p w14:paraId="0A22761E" w14:textId="701DDEE5" w:rsidR="00261387" w:rsidRPr="00E073B3" w:rsidRDefault="002C5CF9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 xml:space="preserve">The facilitators of the </w:t>
            </w:r>
            <w:r w:rsidR="00A61ABF" w:rsidRPr="00E073B3">
              <w:rPr>
                <w:rFonts w:ascii="Arial" w:hAnsi="Arial" w:cs="Arial"/>
                <w:sz w:val="20"/>
                <w:szCs w:val="20"/>
              </w:rPr>
              <w:t>seminar</w:t>
            </w:r>
            <w:r w:rsidRPr="00E07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>could be</w:t>
            </w:r>
            <w:r w:rsidRPr="00E073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91F8CC" w14:textId="66B43B68" w:rsidR="002C5CF9" w:rsidRPr="00E073B3" w:rsidRDefault="002C5CF9" w:rsidP="002C5C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An IT specialist (maximising the use of online platforms)</w:t>
            </w:r>
          </w:p>
          <w:p w14:paraId="2B57F566" w14:textId="0C8F0C36" w:rsidR="00FA40F6" w:rsidRPr="00E073B3" w:rsidRDefault="00FA40F6" w:rsidP="002C5C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 musician (music software applications)</w:t>
            </w:r>
          </w:p>
          <w:p w14:paraId="5A8BCAF6" w14:textId="07C13C5E" w:rsidR="002C5CF9" w:rsidRPr="00E073B3" w:rsidRDefault="002C5CF9" w:rsidP="002C5C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 musician (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 xml:space="preserve">engaging in </w:t>
            </w:r>
            <w:r w:rsidRPr="00E073B3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 xml:space="preserve">musical </w:t>
            </w:r>
            <w:r w:rsidRPr="00E073B3">
              <w:rPr>
                <w:rFonts w:ascii="Arial" w:hAnsi="Arial" w:cs="Arial"/>
                <w:sz w:val="20"/>
                <w:szCs w:val="20"/>
              </w:rPr>
              <w:t>collaboration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>s</w:t>
            </w:r>
            <w:r w:rsidRPr="00E073B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841824" w14:textId="77777777" w:rsidR="002C5CF9" w:rsidRPr="00E073B3" w:rsidRDefault="002C5CF9" w:rsidP="002C5C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An experienced telehealth counsellor/ps</w:t>
            </w:r>
            <w:r w:rsidR="00FA40F6" w:rsidRPr="00E073B3">
              <w:rPr>
                <w:rFonts w:ascii="Arial" w:hAnsi="Arial" w:cs="Arial"/>
                <w:sz w:val="20"/>
                <w:szCs w:val="20"/>
              </w:rPr>
              <w:t>ychotherapist (the strengths and pitfalls of online counselling)</w:t>
            </w:r>
          </w:p>
          <w:p w14:paraId="3B3C88F4" w14:textId="6865664A" w:rsidR="00FA40F6" w:rsidRPr="00E073B3" w:rsidRDefault="00FA40F6" w:rsidP="002C5C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An experienced telehealth music therapy (a case study in online music therapy)</w:t>
            </w:r>
          </w:p>
          <w:p w14:paraId="47426583" w14:textId="2800124A" w:rsidR="00F30612" w:rsidRPr="000E1196" w:rsidRDefault="00FA40F6" w:rsidP="000E11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An experienced telehealth music therapist (potentials for online music therapy across populations)</w:t>
            </w:r>
          </w:p>
        </w:tc>
      </w:tr>
      <w:tr w:rsidR="00261387" w:rsidRPr="00E073B3" w14:paraId="5C64B4B7" w14:textId="77777777" w:rsidTr="00261387">
        <w:tc>
          <w:tcPr>
            <w:tcW w:w="1696" w:type="dxa"/>
          </w:tcPr>
          <w:p w14:paraId="1C5C986F" w14:textId="720F1B5D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  <w:tc>
          <w:tcPr>
            <w:tcW w:w="7320" w:type="dxa"/>
          </w:tcPr>
          <w:p w14:paraId="15FD5297" w14:textId="77777777" w:rsidR="00FA40F6" w:rsidRPr="00E073B3" w:rsidRDefault="00FA40F6" w:rsidP="00A61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 xml:space="preserve">I anticipate that I will be able to organise the programme to be delivered in November 2021. </w:t>
            </w:r>
          </w:p>
          <w:p w14:paraId="2FFB5057" w14:textId="77777777" w:rsidR="00FA40F6" w:rsidRPr="00E073B3" w:rsidRDefault="00FA40F6" w:rsidP="00A61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 xml:space="preserve">The programme will be delivered over the period of one week. </w:t>
            </w:r>
          </w:p>
          <w:p w14:paraId="6DE8AD4E" w14:textId="77777777" w:rsidR="00261387" w:rsidRPr="00E073B3" w:rsidRDefault="00A61ABF" w:rsidP="00A61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Registrants who attend live sessions will be asked to complete evaluations within two weeks following the seminar</w:t>
            </w:r>
          </w:p>
          <w:p w14:paraId="11F79C4F" w14:textId="77777777" w:rsidR="00A61ABF" w:rsidRPr="00E073B3" w:rsidRDefault="00A61ABF" w:rsidP="00A61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A further round of evaluations, for those who engaged with recordings, will be requested two months post-seminar</w:t>
            </w:r>
          </w:p>
          <w:p w14:paraId="2750A8B3" w14:textId="7A12C392" w:rsidR="00A61ABF" w:rsidRPr="000E1196" w:rsidRDefault="00A61ABF" w:rsidP="000E119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I will be able to furnish the evaluation of my project by March 2022</w:t>
            </w:r>
            <w:r w:rsidRPr="000E1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1387" w:rsidRPr="00E073B3" w14:paraId="45D39388" w14:textId="77777777" w:rsidTr="00261387">
        <w:tc>
          <w:tcPr>
            <w:tcW w:w="1696" w:type="dxa"/>
          </w:tcPr>
          <w:p w14:paraId="1E75BA95" w14:textId="426A9A5A" w:rsidR="00261387" w:rsidRPr="00E073B3" w:rsidRDefault="00261387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Estimated Cost</w:t>
            </w:r>
          </w:p>
        </w:tc>
        <w:tc>
          <w:tcPr>
            <w:tcW w:w="7320" w:type="dxa"/>
          </w:tcPr>
          <w:p w14:paraId="7C7EE8C4" w14:textId="77777777" w:rsidR="00261387" w:rsidRPr="00E073B3" w:rsidRDefault="00A61ABF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The six facilitators are estimated to spend 5-6 hours preparing and delivering their materials.</w:t>
            </w:r>
            <w:r w:rsidR="007F17BC" w:rsidRPr="00E073B3">
              <w:rPr>
                <w:rFonts w:ascii="Arial" w:hAnsi="Arial" w:cs="Arial"/>
                <w:sz w:val="20"/>
                <w:szCs w:val="20"/>
              </w:rPr>
              <w:t xml:space="preserve"> Since they are experts in their fields, I anticipate that it will be necessary to pay approximately $70 per hour to secure their services.</w:t>
            </w:r>
          </w:p>
          <w:p w14:paraId="2583A166" w14:textId="40AC592A" w:rsidR="00F30612" w:rsidRPr="00E073B3" w:rsidRDefault="007F17BC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5 hours x six people x $70 = $2,100.</w:t>
            </w:r>
          </w:p>
        </w:tc>
      </w:tr>
      <w:tr w:rsidR="003118BE" w:rsidRPr="00E073B3" w14:paraId="3FE0467A" w14:textId="77777777" w:rsidTr="00261387">
        <w:tc>
          <w:tcPr>
            <w:tcW w:w="1696" w:type="dxa"/>
          </w:tcPr>
          <w:p w14:paraId="3C5680FD" w14:textId="18209206" w:rsidR="003118BE" w:rsidRPr="00E073B3" w:rsidRDefault="00246B38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Other sources of Funding</w:t>
            </w:r>
          </w:p>
        </w:tc>
        <w:tc>
          <w:tcPr>
            <w:tcW w:w="7320" w:type="dxa"/>
          </w:tcPr>
          <w:p w14:paraId="5D9F35D0" w14:textId="0C2D2275" w:rsidR="003118BE" w:rsidRPr="00E073B3" w:rsidRDefault="00246B38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3118BE" w:rsidRPr="00E073B3" w14:paraId="2AC063D1" w14:textId="77777777" w:rsidTr="00261387">
        <w:tc>
          <w:tcPr>
            <w:tcW w:w="1696" w:type="dxa"/>
          </w:tcPr>
          <w:p w14:paraId="19FC8EF7" w14:textId="4DA79937" w:rsidR="003118BE" w:rsidRPr="00E073B3" w:rsidRDefault="00246B38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Potential Long-term Funding</w:t>
            </w:r>
          </w:p>
        </w:tc>
        <w:tc>
          <w:tcPr>
            <w:tcW w:w="7320" w:type="dxa"/>
          </w:tcPr>
          <w:p w14:paraId="090548A4" w14:textId="2F13FCD8" w:rsidR="003118BE" w:rsidRPr="00E073B3" w:rsidRDefault="00246B38">
            <w:pPr>
              <w:rPr>
                <w:rFonts w:ascii="Arial" w:hAnsi="Arial" w:cs="Arial"/>
                <w:sz w:val="20"/>
                <w:szCs w:val="20"/>
              </w:rPr>
            </w:pPr>
            <w:r w:rsidRPr="00E073B3">
              <w:rPr>
                <w:rFonts w:ascii="Arial" w:hAnsi="Arial" w:cs="Arial"/>
                <w:sz w:val="20"/>
                <w:szCs w:val="20"/>
              </w:rPr>
              <w:t>This is a one-off workshop series.  If interest is high, and the workshops are deemed valuable, the</w:t>
            </w:r>
            <w:r w:rsidR="00E073B3" w:rsidRPr="00E073B3">
              <w:rPr>
                <w:rFonts w:ascii="Arial" w:hAnsi="Arial" w:cs="Arial"/>
                <w:sz w:val="20"/>
                <w:szCs w:val="20"/>
              </w:rPr>
              <w:t>re may be potential for further self-funding workshops (with fees).</w:t>
            </w:r>
          </w:p>
        </w:tc>
      </w:tr>
    </w:tbl>
    <w:p w14:paraId="3D74C3AA" w14:textId="77777777" w:rsidR="00261387" w:rsidRDefault="00261387"/>
    <w:p w14:paraId="03063C45" w14:textId="77777777" w:rsidR="00261387" w:rsidRDefault="00261387" w:rsidP="00261387"/>
    <w:p w14:paraId="191F3775" w14:textId="77777777" w:rsidR="00261387" w:rsidRDefault="00261387"/>
    <w:sectPr w:rsidR="00261387" w:rsidSect="00E073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F96"/>
    <w:multiLevelType w:val="hybridMultilevel"/>
    <w:tmpl w:val="2BC202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9C"/>
    <w:multiLevelType w:val="hybridMultilevel"/>
    <w:tmpl w:val="F2A092B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87"/>
    <w:rsid w:val="000E1196"/>
    <w:rsid w:val="000E1AE9"/>
    <w:rsid w:val="00246B38"/>
    <w:rsid w:val="00261387"/>
    <w:rsid w:val="002B2E1A"/>
    <w:rsid w:val="002C5CF9"/>
    <w:rsid w:val="002F6259"/>
    <w:rsid w:val="003118BE"/>
    <w:rsid w:val="0037616F"/>
    <w:rsid w:val="0046608A"/>
    <w:rsid w:val="007E0A13"/>
    <w:rsid w:val="007F17BC"/>
    <w:rsid w:val="00A61ABF"/>
    <w:rsid w:val="00CF0A3B"/>
    <w:rsid w:val="00E073B3"/>
    <w:rsid w:val="00F3061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0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Rickson</dc:creator>
  <cp:lastModifiedBy>Barbara Lewis</cp:lastModifiedBy>
  <cp:revision>2</cp:revision>
  <dcterms:created xsi:type="dcterms:W3CDTF">2021-10-07T04:56:00Z</dcterms:created>
  <dcterms:modified xsi:type="dcterms:W3CDTF">2021-10-07T04:56:00Z</dcterms:modified>
</cp:coreProperties>
</file>